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网络与计算中心设备采购项目内部执行规定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20万以下，可采用校内自行采购招标（要求政府采购的设备除外）。20万以上50万，委托校外招标代理机构招标。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采购过程必须遵循如下规定：</w:t>
      </w:r>
    </w:p>
    <w:p>
      <w:pPr>
        <w:numPr>
          <w:ilvl w:val="0"/>
          <w:numId w:val="1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于本年度预算项目，需在五月底前完成第一稿招标文件，包括购前论证、招标需求、竞价需求等。对于当年新增的软件开发项目，务必在9月1日前完成招标工作；对于当年新增的需要施工的项目，根据施工所需工期尽早确定招标时间，以保证11月30日前完成工程的验收。</w:t>
      </w:r>
    </w:p>
    <w:p>
      <w:pPr>
        <w:numPr>
          <w:ilvl w:val="0"/>
          <w:numId w:val="1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采购执行人的职责：组织项目选型，起草购前论证、采购需求，审核招标文件，参与招标过程，审核合同条款，组织项目验收等。</w:t>
      </w:r>
    </w:p>
    <w:p>
      <w:pPr>
        <w:numPr>
          <w:ilvl w:val="0"/>
          <w:numId w:val="1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项目中标后需在10个日历日内完成合同的签订。</w:t>
      </w:r>
    </w:p>
    <w:p>
      <w:pPr>
        <w:numPr>
          <w:ilvl w:val="0"/>
          <w:numId w:val="1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合同签订后，需严格按照合同中规定的时间交货、验收、付款。</w:t>
      </w:r>
    </w:p>
    <w:p>
      <w:pPr>
        <w:numPr>
          <w:ilvl w:val="0"/>
          <w:numId w:val="1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若由于采购人自己的原因导致项目采购失败，采购人需承担相应的责任。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注意事项：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关于购前论证：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20万元以下，中心内专家及用户代表论证即可；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20万元（含）——50万元，需一名校外专家参加论证；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论证人员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≧3人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关于评标：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20万元以下，需一名以上校外专家参与评标；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20万元（含）——50万元，用户代表及4名校外专家参与评标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采购执行人必须严格审核采购需求和招标文件中的重要条款，比如技术需求、交货日期、付款方式、售后服务等条款。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采购合同上需有供应商法人或委托代理人的签字、公司公章、骑缝章。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关于验收报告：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20万元以下（不含），中心内三人验收；</w:t>
      </w:r>
    </w:p>
    <w:p>
      <w:pPr>
        <w:numPr>
          <w:ilvl w:val="0"/>
          <w:numId w:val="0"/>
        </w:num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20万元——50万元，三人验收，需有一名中心外校内专家参加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政府采购网上商城的网址是：</w:t>
      </w:r>
    </w:p>
    <w:p>
      <w:pPr>
        <w:numPr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"http://www.szzfcg.cn/goods/goodDisplay.do"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28"/>
          <w:szCs w:val="28"/>
          <w:lang w:val="en-US" w:eastAsia="zh-CN"/>
        </w:rPr>
        <w:t>http://www.szzfcg.cn/goods/goodDisplay.do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，我校只能选择顺电、史泰博、苏宁三家的商品，不能选国美和京东。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修订时间：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D790"/>
    <w:multiLevelType w:val="singleLevel"/>
    <w:tmpl w:val="58B7D79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B7D94B"/>
    <w:multiLevelType w:val="singleLevel"/>
    <w:tmpl w:val="58B7D9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3AA7"/>
    <w:rsid w:val="40013AA7"/>
    <w:rsid w:val="57A118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2017-03-02T08:13:00Z</dcterms:created>
  <dc:creator>zcx</dc:creator>
  <cp:lastModifiedBy>zcx</cp:lastModifiedBy>
  <dcterms:modified xsi:type="dcterms:W3CDTF">2017-03-13T01:50:09Z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